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09BE8" w14:textId="77777777" w:rsidR="009F119B" w:rsidRDefault="009F119B" w:rsidP="009F119B">
      <w:r>
        <w:fldChar w:fldCharType="begin"/>
      </w:r>
      <w:r>
        <w:instrText xml:space="preserve"> HYPERLINK "</w:instrText>
      </w:r>
      <w:r w:rsidRPr="00C5409C">
        <w:instrText>https://www.holocaustremembrance.com/resources/working-definitions-charters/working-definition-antisemitism</w:instrText>
      </w:r>
      <w:r>
        <w:instrText xml:space="preserve">" </w:instrText>
      </w:r>
      <w:r>
        <w:fldChar w:fldCharType="separate"/>
      </w:r>
      <w:r w:rsidRPr="00B52B90">
        <w:rPr>
          <w:rStyle w:val="Hyperlink"/>
        </w:rPr>
        <w:t>https://www.holocaustremembrance.com/resources/working-definitions-charters/working-definition-antisemitism</w:t>
      </w:r>
      <w:r>
        <w:fldChar w:fldCharType="end"/>
      </w:r>
    </w:p>
    <w:p w14:paraId="2ED9C742" w14:textId="77777777" w:rsidR="009F119B" w:rsidRPr="009F119B" w:rsidRDefault="009F119B" w:rsidP="009F119B">
      <w:pPr>
        <w:spacing w:after="150" w:line="555" w:lineRule="atLeast"/>
        <w:outlineLvl w:val="1"/>
        <w:rPr>
          <w:rFonts w:ascii="Arial" w:eastAsia="Times New Roman" w:hAnsi="Arial" w:cs="Arial"/>
          <w:b/>
          <w:bCs/>
          <w:color w:val="333333"/>
          <w:sz w:val="42"/>
          <w:szCs w:val="42"/>
        </w:rPr>
      </w:pPr>
      <w:bookmarkStart w:id="0" w:name="_GoBack"/>
      <w:bookmarkEnd w:id="0"/>
      <w:r w:rsidRPr="009F119B">
        <w:rPr>
          <w:rFonts w:ascii="Arial" w:eastAsia="Times New Roman" w:hAnsi="Arial" w:cs="Arial"/>
          <w:b/>
          <w:bCs/>
          <w:color w:val="333333"/>
          <w:sz w:val="42"/>
          <w:szCs w:val="42"/>
        </w:rPr>
        <w:t>About the IHRA working definition of antisemitism</w:t>
      </w:r>
    </w:p>
    <w:p w14:paraId="73BE054B" w14:textId="77777777" w:rsidR="009F119B" w:rsidRPr="009F119B" w:rsidRDefault="009F119B" w:rsidP="009F119B">
      <w:pPr>
        <w:spacing w:after="150"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The IHRA is the only intergovernmental organization mandated to focus solely on Holocaust-related issues, so with evidence that the scourge of antisemitism is once again on the rise, we resolved to take a leading role in combatting it. IHRA experts determined that in order to begin to address the problem of antisemitism, there must be clarity about what </w:t>
      </w:r>
      <w:hyperlink r:id="rId5" w:history="1">
        <w:r w:rsidRPr="009F119B">
          <w:rPr>
            <w:rFonts w:ascii="Arial" w:eastAsia="Times New Roman" w:hAnsi="Arial" w:cs="Arial"/>
            <w:color w:val="00A0D2"/>
            <w:sz w:val="23"/>
            <w:szCs w:val="23"/>
            <w:u w:val="single"/>
          </w:rPr>
          <w:t>antisemitism</w:t>
        </w:r>
      </w:hyperlink>
      <w:r w:rsidRPr="009F119B">
        <w:rPr>
          <w:rFonts w:ascii="Arial" w:eastAsia="Times New Roman" w:hAnsi="Arial" w:cs="Arial"/>
          <w:color w:val="333333"/>
          <w:sz w:val="23"/>
          <w:szCs w:val="23"/>
        </w:rPr>
        <w:t> is. </w:t>
      </w:r>
    </w:p>
    <w:p w14:paraId="5BDDF1AD" w14:textId="77777777" w:rsidR="009F119B" w:rsidRPr="009F119B" w:rsidRDefault="009F119B" w:rsidP="009F119B">
      <w:pPr>
        <w:spacing w:after="150"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The IHRA’s Committee on Antisemitism and Holocaust Denial worked to build international consensus around a non-legally binding </w:t>
      </w:r>
      <w:hyperlink r:id="rId6" w:history="1">
        <w:r w:rsidRPr="009F119B">
          <w:rPr>
            <w:rFonts w:ascii="Arial" w:eastAsia="Times New Roman" w:hAnsi="Arial" w:cs="Arial"/>
            <w:color w:val="00A0D2"/>
            <w:sz w:val="23"/>
            <w:szCs w:val="23"/>
            <w:u w:val="single"/>
          </w:rPr>
          <w:t>working definition</w:t>
        </w:r>
      </w:hyperlink>
      <w:r w:rsidRPr="009F119B">
        <w:rPr>
          <w:rFonts w:ascii="Arial" w:eastAsia="Times New Roman" w:hAnsi="Arial" w:cs="Arial"/>
          <w:color w:val="333333"/>
          <w:sz w:val="23"/>
          <w:szCs w:val="23"/>
        </w:rPr>
        <w:t> of antisemitism, which was subsequently adopted by the Plenary. By doing so, the IHRA set an example of responsible conduct for other international fora and provided an important tool with practical applicability for its Member Countries. This is just one illustration of how the IHRA has equipped policymakers to address this rise in hate and discrimination at their national level.</w:t>
      </w:r>
    </w:p>
    <w:p w14:paraId="6C8D552F" w14:textId="77777777" w:rsidR="009F119B" w:rsidRPr="009F119B" w:rsidRDefault="009F119B" w:rsidP="009F119B">
      <w:pPr>
        <w:spacing w:after="150" w:line="555" w:lineRule="atLeast"/>
        <w:outlineLvl w:val="1"/>
        <w:rPr>
          <w:rFonts w:ascii="Arial" w:eastAsia="Times New Roman" w:hAnsi="Arial" w:cs="Arial"/>
          <w:b/>
          <w:bCs/>
          <w:color w:val="333333"/>
          <w:sz w:val="42"/>
          <w:szCs w:val="42"/>
        </w:rPr>
      </w:pPr>
      <w:r w:rsidRPr="009F119B">
        <w:rPr>
          <w:rFonts w:ascii="Arial" w:eastAsia="Times New Roman" w:hAnsi="Arial" w:cs="Arial"/>
          <w:b/>
          <w:bCs/>
          <w:color w:val="333333"/>
          <w:sz w:val="42"/>
          <w:szCs w:val="42"/>
        </w:rPr>
        <w:t>The working definition of antisemitism</w:t>
      </w:r>
    </w:p>
    <w:p w14:paraId="0509D607" w14:textId="77777777" w:rsidR="009F119B" w:rsidRPr="009F119B" w:rsidRDefault="009F119B" w:rsidP="009F119B">
      <w:pPr>
        <w:spacing w:after="150"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In the spirit of the Stockholm Declaration that states: “With humanity still scarred by …antisemitism and xenophobia the international community shares a solemn responsibility to fight those evils” the committee on Antisemitism and Holocaust Denial called the IHRA Plenary in Budapest 2015 to adopt the following working definition of antisemitism. </w:t>
      </w:r>
      <w:r w:rsidRPr="009F119B">
        <w:rPr>
          <w:rFonts w:ascii="Arial" w:eastAsia="Times New Roman" w:hAnsi="Arial" w:cs="Arial"/>
          <w:color w:val="333333"/>
          <w:sz w:val="23"/>
          <w:szCs w:val="23"/>
        </w:rPr>
        <w:br/>
        <w:t> </w:t>
      </w:r>
      <w:r w:rsidRPr="009F119B">
        <w:rPr>
          <w:rFonts w:ascii="Arial" w:eastAsia="Times New Roman" w:hAnsi="Arial" w:cs="Arial"/>
          <w:color w:val="333333"/>
          <w:sz w:val="23"/>
          <w:szCs w:val="23"/>
        </w:rPr>
        <w:br/>
        <w:t>On 26 May 2016, the Plenary in Bucharest decided to:</w:t>
      </w:r>
      <w:r w:rsidRPr="009F119B">
        <w:rPr>
          <w:rFonts w:ascii="Arial" w:eastAsia="Times New Roman" w:hAnsi="Arial" w:cs="Arial"/>
          <w:color w:val="333333"/>
          <w:sz w:val="23"/>
          <w:szCs w:val="23"/>
        </w:rPr>
        <w:br/>
        <w:t> </w:t>
      </w:r>
    </w:p>
    <w:p w14:paraId="65647806" w14:textId="77777777" w:rsidR="009F119B" w:rsidRPr="009F119B" w:rsidRDefault="009F119B" w:rsidP="009F119B">
      <w:pPr>
        <w:pBdr>
          <w:top w:val="single" w:sz="6" w:space="8" w:color="000000"/>
          <w:left w:val="single" w:sz="6" w:space="8" w:color="000000"/>
          <w:bottom w:val="single" w:sz="6" w:space="8" w:color="000000"/>
          <w:right w:val="single" w:sz="6" w:space="8" w:color="000000"/>
        </w:pBdr>
        <w:spacing w:after="150" w:line="240" w:lineRule="auto"/>
        <w:rPr>
          <w:rFonts w:ascii="Arial" w:eastAsia="Times New Roman" w:hAnsi="Arial" w:cs="Arial"/>
          <w:color w:val="333333"/>
          <w:sz w:val="23"/>
          <w:szCs w:val="23"/>
        </w:rPr>
      </w:pPr>
      <w:r w:rsidRPr="009F119B">
        <w:rPr>
          <w:rFonts w:ascii="Arial" w:eastAsia="Times New Roman" w:hAnsi="Arial" w:cs="Arial"/>
          <w:b/>
          <w:bCs/>
          <w:color w:val="333333"/>
          <w:sz w:val="23"/>
          <w:szCs w:val="23"/>
        </w:rPr>
        <w:t>Adopt the following non-legally binding working definition of antisemitism:</w:t>
      </w:r>
      <w:r w:rsidRPr="009F119B">
        <w:rPr>
          <w:rFonts w:ascii="Arial" w:eastAsia="Times New Roman" w:hAnsi="Arial" w:cs="Arial"/>
          <w:b/>
          <w:bCs/>
          <w:color w:val="333333"/>
          <w:sz w:val="23"/>
          <w:szCs w:val="23"/>
        </w:rPr>
        <w:br/>
      </w:r>
      <w:r w:rsidRPr="009F119B">
        <w:rPr>
          <w:rFonts w:ascii="Arial" w:eastAsia="Times New Roman" w:hAnsi="Arial" w:cs="Arial"/>
          <w:b/>
          <w:bCs/>
          <w:color w:val="333333"/>
          <w:sz w:val="23"/>
          <w:szCs w:val="23"/>
        </w:rPr>
        <w:br/>
        <w:t>“Antisemitism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5A5D61D5" w14:textId="77777777" w:rsidR="009F119B" w:rsidRPr="009F119B" w:rsidRDefault="009F119B" w:rsidP="009F119B">
      <w:pPr>
        <w:spacing w:after="150"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 </w:t>
      </w:r>
      <w:r w:rsidRPr="009F119B">
        <w:rPr>
          <w:rFonts w:ascii="Arial" w:eastAsia="Times New Roman" w:hAnsi="Arial" w:cs="Arial"/>
          <w:color w:val="333333"/>
          <w:sz w:val="23"/>
          <w:szCs w:val="23"/>
        </w:rPr>
        <w:br/>
        <w:t>To guide IHRA in its work, the following examples may serve as illustrations:</w:t>
      </w:r>
      <w:r w:rsidRPr="009F119B">
        <w:rPr>
          <w:rFonts w:ascii="Arial" w:eastAsia="Times New Roman" w:hAnsi="Arial" w:cs="Arial"/>
          <w:color w:val="333333"/>
          <w:sz w:val="23"/>
          <w:szCs w:val="23"/>
        </w:rPr>
        <w:br/>
        <w:t> </w:t>
      </w:r>
      <w:r w:rsidRPr="009F119B">
        <w:rPr>
          <w:rFonts w:ascii="Arial" w:eastAsia="Times New Roman" w:hAnsi="Arial" w:cs="Arial"/>
          <w:color w:val="333333"/>
          <w:sz w:val="23"/>
          <w:szCs w:val="23"/>
        </w:rPr>
        <w:br/>
        <w:t xml:space="preserve">Manifestations might include the targeting of the state of Israel, conceived as a Jewish collectivity. However, criticism of Israel </w:t>
      </w:r>
      <w:proofErr w:type="gramStart"/>
      <w:r w:rsidRPr="009F119B">
        <w:rPr>
          <w:rFonts w:ascii="Arial" w:eastAsia="Times New Roman" w:hAnsi="Arial" w:cs="Arial"/>
          <w:color w:val="333333"/>
          <w:sz w:val="23"/>
          <w:szCs w:val="23"/>
        </w:rPr>
        <w:t>similar to</w:t>
      </w:r>
      <w:proofErr w:type="gramEnd"/>
      <w:r w:rsidRPr="009F119B">
        <w:rPr>
          <w:rFonts w:ascii="Arial" w:eastAsia="Times New Roman" w:hAnsi="Arial" w:cs="Arial"/>
          <w:color w:val="333333"/>
          <w:sz w:val="23"/>
          <w:szCs w:val="23"/>
        </w:rPr>
        <w:t xml:space="preserve"> that leveled against any other country cannot be regarded as antisemitic. Antisemitism frequently charges Jews with conspiring to harm humanity, and it is often used to blame Jews for “why things go wrong.” It is expressed in speech, writing, visual forms and action, and employs sinister stereotypes and negative character traits.</w:t>
      </w:r>
      <w:r w:rsidRPr="009F119B">
        <w:rPr>
          <w:rFonts w:ascii="Arial" w:eastAsia="Times New Roman" w:hAnsi="Arial" w:cs="Arial"/>
          <w:color w:val="333333"/>
          <w:sz w:val="23"/>
          <w:szCs w:val="23"/>
        </w:rPr>
        <w:br/>
        <w:t> </w:t>
      </w:r>
      <w:r w:rsidRPr="009F119B">
        <w:rPr>
          <w:rFonts w:ascii="Arial" w:eastAsia="Times New Roman" w:hAnsi="Arial" w:cs="Arial"/>
          <w:color w:val="333333"/>
          <w:sz w:val="23"/>
          <w:szCs w:val="23"/>
        </w:rPr>
        <w:br/>
        <w:t xml:space="preserve">Contemporary examples of antisemitism in public life, the media, schools, the workplace, </w:t>
      </w:r>
      <w:r w:rsidRPr="009F119B">
        <w:rPr>
          <w:rFonts w:ascii="Arial" w:eastAsia="Times New Roman" w:hAnsi="Arial" w:cs="Arial"/>
          <w:color w:val="333333"/>
          <w:sz w:val="23"/>
          <w:szCs w:val="23"/>
        </w:rPr>
        <w:lastRenderedPageBreak/>
        <w:t>and in the religious sphere could, taking into account the overall context, include, but are not limited to:</w:t>
      </w:r>
    </w:p>
    <w:p w14:paraId="4B7F188C"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Calling for, aiding, or justifying the killing or harming of Jews in the name of a radical ideology or an extremist view of religion.</w:t>
      </w:r>
    </w:p>
    <w:p w14:paraId="65DD8979"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Making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w:t>
      </w:r>
    </w:p>
    <w:p w14:paraId="7EEFE642"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Accusing Jews as a people of being responsible for real or imagined wrongdoing committed by a single Jewish person or group, or even for acts committed by non-Jews.</w:t>
      </w:r>
    </w:p>
    <w:p w14:paraId="5461631E"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Denying the fact, scope, mechanisms (e.g. gas chambers) or intentionality of the genocide of the Jewish people at the hands of National Socialist Germany and its supporters and accomplices during World War II (the Holocaust).</w:t>
      </w:r>
    </w:p>
    <w:p w14:paraId="37245A87"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Accusing the Jews as a people, or Israel as a state, of inventing or exaggerating the Holocaust.</w:t>
      </w:r>
    </w:p>
    <w:p w14:paraId="08B1C4B6"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Accusing Jewish citizens of being more loyal to Israel, or to the alleged priorities of Jews worldwide, than to the interests of their own nations.</w:t>
      </w:r>
    </w:p>
    <w:p w14:paraId="26D44187"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Denying the Jewish people their right to self-determination, e.g., by claiming that the existence of a State of Israel is a racist endeavor.</w:t>
      </w:r>
    </w:p>
    <w:p w14:paraId="37E28F7E"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Applying double standards by requiring of it a behavior not expected or demanded of any other democratic nation.</w:t>
      </w:r>
    </w:p>
    <w:p w14:paraId="09A79823"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Using the symbols and images associated with classic antisemitism (e.g., claims of Jews killing Jesus or blood libel) to characterize Israel or Israelis.</w:t>
      </w:r>
    </w:p>
    <w:p w14:paraId="7D843580"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Drawing comparisons of contemporary Israeli policy to that of the Nazis.</w:t>
      </w:r>
    </w:p>
    <w:p w14:paraId="540577F2" w14:textId="77777777" w:rsidR="009F119B" w:rsidRPr="009F119B" w:rsidRDefault="009F119B" w:rsidP="009F119B">
      <w:pPr>
        <w:numPr>
          <w:ilvl w:val="0"/>
          <w:numId w:val="1"/>
        </w:numPr>
        <w:spacing w:before="100" w:beforeAutospacing="1" w:after="192" w:line="240" w:lineRule="auto"/>
        <w:rPr>
          <w:rFonts w:ascii="Arial" w:eastAsia="Times New Roman" w:hAnsi="Arial" w:cs="Arial"/>
          <w:color w:val="333333"/>
          <w:sz w:val="23"/>
          <w:szCs w:val="23"/>
        </w:rPr>
      </w:pPr>
      <w:r w:rsidRPr="009F119B">
        <w:rPr>
          <w:rFonts w:ascii="Arial" w:eastAsia="Times New Roman" w:hAnsi="Arial" w:cs="Arial"/>
          <w:color w:val="333333"/>
          <w:sz w:val="23"/>
          <w:szCs w:val="23"/>
        </w:rPr>
        <w:t>Holding Jews collectively responsible for actions of the state of Israel.</w:t>
      </w:r>
    </w:p>
    <w:p w14:paraId="70D74FE9" w14:textId="77777777" w:rsidR="009F119B" w:rsidRPr="009F119B" w:rsidRDefault="009F119B" w:rsidP="009F119B">
      <w:pPr>
        <w:spacing w:after="150" w:line="240" w:lineRule="auto"/>
        <w:rPr>
          <w:rFonts w:ascii="Arial" w:eastAsia="Times New Roman" w:hAnsi="Arial" w:cs="Arial"/>
          <w:color w:val="333333"/>
          <w:sz w:val="23"/>
          <w:szCs w:val="23"/>
        </w:rPr>
      </w:pPr>
      <w:r w:rsidRPr="009F119B">
        <w:rPr>
          <w:rFonts w:ascii="Arial" w:eastAsia="Times New Roman" w:hAnsi="Arial" w:cs="Arial"/>
          <w:b/>
          <w:bCs/>
          <w:color w:val="333333"/>
          <w:sz w:val="23"/>
          <w:szCs w:val="23"/>
        </w:rPr>
        <w:t>Antisemitic acts are criminal</w:t>
      </w:r>
      <w:r w:rsidRPr="009F119B">
        <w:rPr>
          <w:rFonts w:ascii="Arial" w:eastAsia="Times New Roman" w:hAnsi="Arial" w:cs="Arial"/>
          <w:color w:val="333333"/>
          <w:sz w:val="23"/>
          <w:szCs w:val="23"/>
        </w:rPr>
        <w:t> when they are so defined by law (for example, denial of the Holocaust or distribution of antisemitic materials in some countries).</w:t>
      </w:r>
      <w:r w:rsidRPr="009F119B">
        <w:rPr>
          <w:rFonts w:ascii="Arial" w:eastAsia="Times New Roman" w:hAnsi="Arial" w:cs="Arial"/>
          <w:color w:val="333333"/>
          <w:sz w:val="23"/>
          <w:szCs w:val="23"/>
        </w:rPr>
        <w:br/>
        <w:t> </w:t>
      </w:r>
      <w:r w:rsidRPr="009F119B">
        <w:rPr>
          <w:rFonts w:ascii="Arial" w:eastAsia="Times New Roman" w:hAnsi="Arial" w:cs="Arial"/>
          <w:color w:val="333333"/>
          <w:sz w:val="23"/>
          <w:szCs w:val="23"/>
        </w:rPr>
        <w:br/>
      </w:r>
      <w:r w:rsidRPr="009F119B">
        <w:rPr>
          <w:rFonts w:ascii="Arial" w:eastAsia="Times New Roman" w:hAnsi="Arial" w:cs="Arial"/>
          <w:b/>
          <w:bCs/>
          <w:color w:val="333333"/>
          <w:sz w:val="23"/>
          <w:szCs w:val="23"/>
        </w:rPr>
        <w:t>Criminal acts are antisemitic </w:t>
      </w:r>
      <w:r w:rsidRPr="009F119B">
        <w:rPr>
          <w:rFonts w:ascii="Arial" w:eastAsia="Times New Roman" w:hAnsi="Arial" w:cs="Arial"/>
          <w:color w:val="333333"/>
          <w:sz w:val="23"/>
          <w:szCs w:val="23"/>
        </w:rPr>
        <w:t>when the targets of attacks, whether they are people or property – such as buildings, schools, places of worship and cemeteries – are selected because they are, or are perceived to be, Jewish or linked to Jews.</w:t>
      </w:r>
      <w:r w:rsidRPr="009F119B">
        <w:rPr>
          <w:rFonts w:ascii="Arial" w:eastAsia="Times New Roman" w:hAnsi="Arial" w:cs="Arial"/>
          <w:color w:val="333333"/>
          <w:sz w:val="23"/>
          <w:szCs w:val="23"/>
        </w:rPr>
        <w:br/>
        <w:t> </w:t>
      </w:r>
      <w:r w:rsidRPr="009F119B">
        <w:rPr>
          <w:rFonts w:ascii="Arial" w:eastAsia="Times New Roman" w:hAnsi="Arial" w:cs="Arial"/>
          <w:color w:val="333333"/>
          <w:sz w:val="23"/>
          <w:szCs w:val="23"/>
        </w:rPr>
        <w:br/>
      </w:r>
      <w:r w:rsidRPr="009F119B">
        <w:rPr>
          <w:rFonts w:ascii="Arial" w:eastAsia="Times New Roman" w:hAnsi="Arial" w:cs="Arial"/>
          <w:b/>
          <w:bCs/>
          <w:color w:val="333333"/>
          <w:sz w:val="23"/>
          <w:szCs w:val="23"/>
        </w:rPr>
        <w:t>Antisemitic discrimination</w:t>
      </w:r>
      <w:r w:rsidRPr="009F119B">
        <w:rPr>
          <w:rFonts w:ascii="Arial" w:eastAsia="Times New Roman" w:hAnsi="Arial" w:cs="Arial"/>
          <w:color w:val="333333"/>
          <w:sz w:val="23"/>
          <w:szCs w:val="23"/>
        </w:rPr>
        <w:t> is the denial to Jews of opportunities or services available to others and is illegal in many countries.</w:t>
      </w:r>
    </w:p>
    <w:p w14:paraId="2D6A90F7" w14:textId="77777777" w:rsidR="00346E36" w:rsidRDefault="00346E36"/>
    <w:sectPr w:rsidR="00346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F0B3D"/>
    <w:multiLevelType w:val="multilevel"/>
    <w:tmpl w:val="C8029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9B"/>
    <w:rsid w:val="00346E36"/>
    <w:rsid w:val="009F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B283"/>
  <w15:chartTrackingRefBased/>
  <w15:docId w15:val="{153C1C23-68FF-43D6-A587-5907EF15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1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locaustremembrance.com/resources/working-definitions-and-charters" TargetMode="External"/><Relationship Id="rId5" Type="http://schemas.openxmlformats.org/officeDocument/2006/relationships/hyperlink" Target="https://www.holocaustremembrance.com/antisemit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4314</Characters>
  <Application>Microsoft Office Word</Application>
  <DocSecurity>0</DocSecurity>
  <Lines>66</Lines>
  <Paragraphs>9</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Brian B</dc:creator>
  <cp:keywords/>
  <dc:description/>
  <cp:lastModifiedBy>Kahn, Brian B</cp:lastModifiedBy>
  <cp:revision>2</cp:revision>
  <dcterms:created xsi:type="dcterms:W3CDTF">2021-02-04T18:20:00Z</dcterms:created>
  <dcterms:modified xsi:type="dcterms:W3CDTF">2021-02-04T18:20:00Z</dcterms:modified>
</cp:coreProperties>
</file>